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FA" w:rsidRDefault="00E0697C">
      <w:pPr>
        <w:spacing w:after="0" w:line="259" w:lineRule="auto"/>
        <w:ind w:left="845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F61FA" w:rsidRDefault="00E0697C">
      <w:pPr>
        <w:spacing w:after="0" w:line="259" w:lineRule="auto"/>
        <w:ind w:left="845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F61FA" w:rsidRDefault="00E0697C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F61FA" w:rsidRDefault="00E0697C">
      <w:pPr>
        <w:spacing w:after="0" w:line="259" w:lineRule="auto"/>
        <w:ind w:left="845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F61FA" w:rsidRDefault="00E0697C">
      <w:pPr>
        <w:spacing w:after="0" w:line="259" w:lineRule="auto"/>
        <w:ind w:left="835" w:firstLine="0"/>
        <w:jc w:val="center"/>
      </w:pPr>
      <w:r>
        <w:rPr>
          <w:noProof/>
        </w:rPr>
        <w:drawing>
          <wp:inline distT="0" distB="0" distL="0" distR="0" wp14:anchorId="53546D70" wp14:editId="68F74D82">
            <wp:extent cx="6390640" cy="15430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5F61FA" w:rsidRDefault="00E0697C">
      <w:pPr>
        <w:spacing w:after="56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5F61FA" w:rsidRDefault="00E0697C">
      <w:pPr>
        <w:spacing w:after="0" w:line="259" w:lineRule="auto"/>
        <w:ind w:left="738" w:firstLine="0"/>
        <w:jc w:val="center"/>
      </w:pPr>
      <w:r>
        <w:rPr>
          <w:rFonts w:ascii="Broadway" w:eastAsia="Broadway" w:hAnsi="Broadway" w:cs="Broadway"/>
          <w:sz w:val="22"/>
          <w:u w:val="single" w:color="000000"/>
        </w:rPr>
        <w:t>SCHEDA   AUTOVALUTAZIONE DOCENTE</w:t>
      </w:r>
      <w:r>
        <w:rPr>
          <w:rFonts w:ascii="Broadway" w:eastAsia="Broadway" w:hAnsi="Broadway" w:cs="Broadway"/>
          <w:sz w:val="22"/>
        </w:rPr>
        <w:t xml:space="preserve"> –A.S. 2019/2020</w:t>
      </w:r>
    </w:p>
    <w:p w:rsidR="005F61FA" w:rsidRDefault="00E0697C">
      <w:pPr>
        <w:spacing w:after="0" w:line="259" w:lineRule="auto"/>
        <w:ind w:left="820" w:firstLine="0"/>
        <w:jc w:val="center"/>
      </w:pPr>
      <w:r>
        <w:rPr>
          <w:rFonts w:ascii="Broadway" w:eastAsia="Broadway" w:hAnsi="Broadway" w:cs="Broadway"/>
          <w:sz w:val="22"/>
        </w:rPr>
        <w:t xml:space="preserve"> </w:t>
      </w:r>
    </w:p>
    <w:p w:rsidR="005F61FA" w:rsidRDefault="00E0697C">
      <w:pPr>
        <w:spacing w:after="0" w:line="259" w:lineRule="auto"/>
        <w:ind w:left="820" w:firstLine="0"/>
        <w:jc w:val="center"/>
      </w:pPr>
      <w:r>
        <w:rPr>
          <w:rFonts w:ascii="Broadway" w:eastAsia="Broadway" w:hAnsi="Broadway" w:cs="Broadway"/>
          <w:sz w:val="22"/>
        </w:rPr>
        <w:t xml:space="preserve"> </w:t>
      </w:r>
    </w:p>
    <w:p w:rsidR="005F61FA" w:rsidRDefault="00E0697C">
      <w:pPr>
        <w:spacing w:after="0" w:line="259" w:lineRule="auto"/>
        <w:ind w:left="847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PROF./SSA</w:t>
      </w:r>
      <w:r>
        <w:rPr>
          <w:rFonts w:ascii="Times New Roman" w:eastAsia="Times New Roman" w:hAnsi="Times New Roman" w:cs="Times New Roman"/>
          <w:b/>
          <w:sz w:val="22"/>
        </w:rPr>
        <w:t xml:space="preserve">.....................................................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5F61FA" w:rsidRDefault="00E0697C">
      <w:pPr>
        <w:spacing w:after="0" w:line="259" w:lineRule="auto"/>
        <w:ind w:left="847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IN SERVIZIO PRESSO</w:t>
      </w:r>
      <w:r>
        <w:rPr>
          <w:rFonts w:ascii="Times New Roman" w:eastAsia="Times New Roman" w:hAnsi="Times New Roman" w:cs="Times New Roman"/>
          <w:b/>
          <w:sz w:val="22"/>
        </w:rPr>
        <w:t xml:space="preserve">..................................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5F61FA" w:rsidRDefault="00E0697C">
      <w:pPr>
        <w:spacing w:after="0" w:line="259" w:lineRule="auto"/>
        <w:ind w:left="847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ASSENZE A.S. 2019/20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– </w:t>
      </w:r>
      <w:r>
        <w:rPr>
          <w:rFonts w:ascii="Times New Roman" w:eastAsia="Times New Roman" w:hAnsi="Times New Roman" w:cs="Times New Roman"/>
          <w:b/>
          <w:sz w:val="22"/>
        </w:rPr>
        <w:t xml:space="preserve">N. giorni.................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ASSENZE RIUNIONI COLLEGIALI</w:t>
      </w:r>
      <w:r>
        <w:rPr>
          <w:rFonts w:ascii="Times New Roman" w:eastAsia="Times New Roman" w:hAnsi="Times New Roman" w:cs="Times New Roman"/>
          <w:sz w:val="22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Collegi,Consigli</w:t>
      </w:r>
      <w:proofErr w:type="gramEnd"/>
      <w:r>
        <w:rPr>
          <w:rFonts w:ascii="Times New Roman" w:eastAsia="Times New Roman" w:hAnsi="Times New Roman" w:cs="Times New Roman"/>
          <w:sz w:val="22"/>
        </w:rPr>
        <w:t>,etc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.) </w:t>
      </w:r>
      <w:r>
        <w:rPr>
          <w:rFonts w:ascii="Times New Roman" w:eastAsia="Times New Roman" w:hAnsi="Times New Roman" w:cs="Times New Roman"/>
          <w:b/>
          <w:sz w:val="22"/>
        </w:rPr>
        <w:t xml:space="preserve">N. giorni..............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10949" w:type="dxa"/>
        <w:tblInd w:w="113" w:type="dxa"/>
        <w:tblCellMar>
          <w:top w:w="43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9955"/>
        <w:gridCol w:w="425"/>
        <w:gridCol w:w="569"/>
      </w:tblGrid>
      <w:tr w:rsidR="005F61FA">
        <w:trPr>
          <w:trHeight w:val="434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Indicatori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SI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NO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Progettazione per competenze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Modalità di valutazione (Valutazione autentica e utilizzo di compiti autentici)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Azioni di recupero attivate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Azioni per valorizzare le eccellenze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Utilizzo laboratori/Tic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Promozione della cultura (manifestazioni, open </w:t>
            </w:r>
            <w:proofErr w:type="spellStart"/>
            <w:r>
              <w:rPr>
                <w:i/>
              </w:rPr>
              <w:t>day</w:t>
            </w:r>
            <w:proofErr w:type="spellEnd"/>
            <w:proofErr w:type="gramStart"/>
            <w:r>
              <w:rPr>
                <w:i/>
              </w:rPr>
              <w:t>, )</w:t>
            </w:r>
            <w:proofErr w:type="gramEnd"/>
            <w:r>
              <w:rPr>
                <w:i/>
              </w:rPr>
              <w:t xml:space="preserve"> e dell’immagine della scuola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Media classe e/o media corso in relazione alla situazione iniziale (Valore aggiunto)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>Tas</w:t>
            </w:r>
            <w:r>
              <w:t xml:space="preserve">so insuccesso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Potenziamento extracurriculare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Attività BES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Partecipazione stesura RAV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>Utilizzo didattica innovativa (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</w:t>
            </w:r>
            <w:proofErr w:type="spellStart"/>
            <w:r>
              <w:t>circle</w:t>
            </w:r>
            <w:proofErr w:type="spellEnd"/>
            <w:r>
              <w:t xml:space="preserve"> time, cooperative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proofErr w:type="spellStart"/>
            <w:r>
              <w:t>peer</w:t>
            </w:r>
            <w:proofErr w:type="spellEnd"/>
            <w:r>
              <w:t xml:space="preserve"> to </w:t>
            </w:r>
            <w:proofErr w:type="spellStart"/>
            <w:r>
              <w:t>peer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Risultati prove INVALSI/Risultati prove Esami di Stato/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Convegni/Momenti di incontro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lastRenderedPageBreak/>
              <w:t xml:space="preserve">Partecipazione a nuovi momenti didattici (laboratori esterni alla scuola, insegnamenti opzionali, </w:t>
            </w:r>
            <w:proofErr w:type="spellStart"/>
            <w:r>
              <w:t>ecc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Partecipazione e concorsi, gare, premi, </w:t>
            </w:r>
            <w:proofErr w:type="spellStart"/>
            <w:r>
              <w:t>ecc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Produzione di Materiali, strumenti e risorse didattiche condivise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Presidio Obiettivi di processo-Azione del </w:t>
            </w:r>
            <w:proofErr w:type="spellStart"/>
            <w:r>
              <w:t>P.d.M</w:t>
            </w:r>
            <w:proofErr w:type="spellEnd"/>
            <w:r>
              <w:t xml:space="preserve">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Realizzazione Curricolo di scuola e manutenzione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Stesura documenti strategici, progettazione generali (laboratori, percorsi, ecc.)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Sostegno e partecipazione ai processi di digitalizzazione delle competenze e della didattica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Produzione materiali per un’efficace disseminazione delle buone pratiche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Contributo al miglioramento dell’immagine della scuola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Collaboratori del DS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Responsabili di Sede e Plesso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Figure sensibili del Sistema dei SPP (compresi i coordinatori dei vari servizi)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Referenti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Figure strumentali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>Membri commissioni (</w:t>
            </w:r>
            <w:proofErr w:type="gramStart"/>
            <w:r>
              <w:t>continuità….</w:t>
            </w:r>
            <w:proofErr w:type="gramEnd"/>
            <w:r>
              <w:t xml:space="preserve">PTOF….)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Animatore digitale – Team dell’Innovazione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Sviluppo progetti di ricerca e sperimentazione in classe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Sostegno a progetti di ricerca e sperimentazione svolti in altre classi o istituti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4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Cura della documentazione educativa personale, di classe e d’Istituto anche in formato digitale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Uso regolare del Registro elettronico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Uso delle LIM e dei laboratori digitali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2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Utilizzo altre tecnologie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Uso di metodologie innovative (attive e costruttive) individuate annualmente dal Collegio Docenti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Sostegno alle competenze digitali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7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Sviluppo di moduli CLIL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7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proofErr w:type="gramStart"/>
            <w:r>
              <w:t>Attuazione  PTOF</w:t>
            </w:r>
            <w:proofErr w:type="gramEnd"/>
            <w:r>
              <w:t xml:space="preserve">  (Progettazioni)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0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Coordinatore didattico di attività pomeridiane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334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>Funzione di esperto/e-tutor/coach/</w:t>
            </w:r>
            <w:proofErr w:type="spellStart"/>
            <w:r>
              <w:t>mentor</w:t>
            </w:r>
            <w:proofErr w:type="spellEnd"/>
            <w:r>
              <w:t xml:space="preserve"> nella formazione interna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F61FA">
        <w:trPr>
          <w:trHeight w:val="595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t xml:space="preserve">Partecipazione attiva a percorsi di formazione interni/esterni coerenti con il Piano formativo d’istituto e/o nazionale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A" w:rsidRDefault="00E069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5F61FA" w:rsidRDefault="00E0697C">
      <w:pPr>
        <w:spacing w:after="0" w:line="259" w:lineRule="auto"/>
        <w:ind w:left="85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F61FA" w:rsidRDefault="00E0697C">
      <w:r>
        <w:t xml:space="preserve">La raccolta degli elementi valutativi alla luce dei criteri declinati in indicatori attraverso questa </w:t>
      </w:r>
      <w:proofErr w:type="gramStart"/>
      <w:r>
        <w:t>scheda,  la</w:t>
      </w:r>
      <w:proofErr w:type="gramEnd"/>
      <w:r>
        <w:t xml:space="preserve"> cui compilazio</w:t>
      </w:r>
      <w:r>
        <w:t xml:space="preserve">ne viene richiesta  ai singoli docenti, si rende necessaria  al fine dell’erogazione del bonus premiale e per l’ AGGIORNAMENTO anno per anno dello status del singolo docente  rispetto al merito. </w:t>
      </w:r>
    </w:p>
    <w:p w:rsidR="005F61FA" w:rsidRDefault="00E0697C">
      <w:pPr>
        <w:spacing w:after="0" w:line="259" w:lineRule="auto"/>
        <w:ind w:left="852" w:firstLine="0"/>
      </w:pPr>
      <w:r>
        <w:t xml:space="preserve"> </w:t>
      </w:r>
    </w:p>
    <w:p w:rsidR="005F61FA" w:rsidRDefault="00E0697C">
      <w:pPr>
        <w:ind w:left="847"/>
      </w:pPr>
      <w:r>
        <w:t xml:space="preserve"> Ciò comporta la precisazione ai docenti del fatto: </w:t>
      </w:r>
    </w:p>
    <w:p w:rsidR="005F61FA" w:rsidRDefault="00E0697C">
      <w:pPr>
        <w:spacing w:after="13" w:line="259" w:lineRule="auto"/>
        <w:ind w:left="852" w:firstLine="0"/>
      </w:pPr>
      <w:r>
        <w:t xml:space="preserve"> </w:t>
      </w:r>
    </w:p>
    <w:p w:rsidR="005F61FA" w:rsidRDefault="00E0697C">
      <w:pPr>
        <w:numPr>
          <w:ilvl w:val="0"/>
          <w:numId w:val="1"/>
        </w:numPr>
        <w:ind w:hanging="360"/>
      </w:pPr>
      <w:proofErr w:type="gramStart"/>
      <w:r>
        <w:t>che</w:t>
      </w:r>
      <w:proofErr w:type="gramEnd"/>
      <w:r>
        <w:t xml:space="preserve"> le dichiarazioni mendaci rappresentano falso in atto pubblico e debbono essere </w:t>
      </w:r>
    </w:p>
    <w:p w:rsidR="005F61FA" w:rsidRDefault="00E0697C">
      <w:pPr>
        <w:ind w:left="154"/>
      </w:pPr>
      <w:r>
        <w:t xml:space="preserve">                           </w:t>
      </w:r>
      <w:proofErr w:type="gramStart"/>
      <w:r>
        <w:t>documentabili</w:t>
      </w:r>
      <w:proofErr w:type="gramEnd"/>
      <w:r>
        <w:t xml:space="preserve">/verificabili; </w:t>
      </w:r>
    </w:p>
    <w:p w:rsidR="005F61FA" w:rsidRDefault="00E0697C">
      <w:pPr>
        <w:spacing w:after="13" w:line="259" w:lineRule="auto"/>
        <w:ind w:left="1932" w:firstLine="0"/>
      </w:pPr>
      <w:r>
        <w:t xml:space="preserve"> </w:t>
      </w:r>
    </w:p>
    <w:p w:rsidR="005F61FA" w:rsidRDefault="00E0697C">
      <w:pPr>
        <w:numPr>
          <w:ilvl w:val="0"/>
          <w:numId w:val="1"/>
        </w:numPr>
        <w:ind w:hanging="360"/>
      </w:pPr>
      <w:proofErr w:type="gramStart"/>
      <w:r>
        <w:lastRenderedPageBreak/>
        <w:t>tali</w:t>
      </w:r>
      <w:proofErr w:type="gramEnd"/>
      <w:r>
        <w:t xml:space="preserve"> dichiarazioni non escludono, anzi, </w:t>
      </w:r>
      <w:r>
        <w:t xml:space="preserve">indirizzano, il controllo del DS,  cui spetta l’attribuzione del bonus alla luce di criteri stabiliti dal Comitato; </w:t>
      </w:r>
    </w:p>
    <w:p w:rsidR="005F61FA" w:rsidRDefault="00E0697C">
      <w:pPr>
        <w:spacing w:after="14" w:line="259" w:lineRule="auto"/>
        <w:ind w:left="852" w:firstLine="0"/>
      </w:pPr>
      <w:r>
        <w:t xml:space="preserve"> </w:t>
      </w:r>
    </w:p>
    <w:p w:rsidR="005F61FA" w:rsidRDefault="00E0697C">
      <w:pPr>
        <w:numPr>
          <w:ilvl w:val="0"/>
          <w:numId w:val="1"/>
        </w:numPr>
        <w:ind w:hanging="360"/>
      </w:pPr>
      <w:proofErr w:type="gramStart"/>
      <w:r>
        <w:t>che</w:t>
      </w:r>
      <w:proofErr w:type="gramEnd"/>
      <w:r>
        <w:t xml:space="preserve"> alcuni indicatori possono essere di mera pertinenza del DS in termini di attribuzione alla luce della loro </w:t>
      </w:r>
      <w:proofErr w:type="spellStart"/>
      <w:r>
        <w:t>documentabilità</w:t>
      </w:r>
      <w:proofErr w:type="spellEnd"/>
      <w:r>
        <w:t xml:space="preserve">; </w:t>
      </w:r>
    </w:p>
    <w:p w:rsidR="005F61FA" w:rsidRDefault="00E0697C">
      <w:pPr>
        <w:spacing w:after="13" w:line="259" w:lineRule="auto"/>
        <w:ind w:left="1560" w:firstLine="0"/>
      </w:pPr>
      <w:r>
        <w:t xml:space="preserve"> </w:t>
      </w:r>
    </w:p>
    <w:p w:rsidR="005F61FA" w:rsidRDefault="00E0697C">
      <w:pPr>
        <w:numPr>
          <w:ilvl w:val="0"/>
          <w:numId w:val="1"/>
        </w:numPr>
        <w:ind w:hanging="360"/>
      </w:pPr>
      <w:proofErr w:type="gramStart"/>
      <w:r>
        <w:t>di</w:t>
      </w:r>
      <w:proofErr w:type="gramEnd"/>
      <w:r>
        <w:t xml:space="preserve"> det</w:t>
      </w:r>
      <w:r>
        <w:t xml:space="preserve">to format non è obbligatoria la restituzione, ma il DS può comunque procedere alla valorizzazione del docente. </w:t>
      </w:r>
    </w:p>
    <w:p w:rsidR="005F61FA" w:rsidRDefault="00E0697C">
      <w:pPr>
        <w:spacing w:after="0" w:line="259" w:lineRule="auto"/>
        <w:ind w:left="1560" w:firstLine="0"/>
      </w:pPr>
      <w:r>
        <w:t xml:space="preserve"> </w:t>
      </w:r>
    </w:p>
    <w:p w:rsidR="005F61FA" w:rsidRDefault="00E0697C">
      <w:pPr>
        <w:spacing w:after="0" w:line="259" w:lineRule="auto"/>
        <w:ind w:left="1572" w:firstLine="0"/>
      </w:pPr>
      <w:r>
        <w:t xml:space="preserve"> </w:t>
      </w:r>
    </w:p>
    <w:p w:rsidR="005F61FA" w:rsidRDefault="00E0697C">
      <w:pPr>
        <w:ind w:left="847"/>
      </w:pPr>
      <w:r>
        <w:t xml:space="preserve">N.B. – A corredo di tale scheda è previsto portfolio docente documentante le </w:t>
      </w:r>
      <w:r>
        <w:rPr>
          <w:b/>
        </w:rPr>
        <w:t>attività svolte</w:t>
      </w:r>
      <w:r>
        <w:t xml:space="preserve"> e, per lo Staff di Dirigenza, anche la compilaz</w:t>
      </w:r>
      <w:r>
        <w:t xml:space="preserve">ione della Scheda </w:t>
      </w:r>
      <w:r>
        <w:rPr>
          <w:b/>
        </w:rPr>
        <w:t>quantificazione oraria</w:t>
      </w:r>
      <w:r>
        <w:t xml:space="preserve"> delle stesse.                        </w:t>
      </w:r>
    </w:p>
    <w:p w:rsidR="00E0697C" w:rsidRDefault="00E0697C">
      <w:pPr>
        <w:ind w:left="847"/>
      </w:pPr>
      <w:r>
        <w:t xml:space="preserve">                                                                                                                        </w:t>
      </w:r>
    </w:p>
    <w:p w:rsidR="00E0697C" w:rsidRDefault="00E0697C">
      <w:pPr>
        <w:ind w:left="847"/>
      </w:pPr>
    </w:p>
    <w:p w:rsidR="00E0697C" w:rsidRDefault="00E0697C">
      <w:pPr>
        <w:ind w:left="847"/>
      </w:pPr>
    </w:p>
    <w:p w:rsidR="005F61FA" w:rsidRDefault="00E0697C" w:rsidP="00E0697C">
      <w:pPr>
        <w:ind w:left="847"/>
        <w:jc w:val="right"/>
      </w:pPr>
      <w:r>
        <w:t xml:space="preserve">  IL DIRIGENTE SCOLASTICO </w:t>
      </w:r>
    </w:p>
    <w:p w:rsidR="005F61FA" w:rsidRDefault="00E0697C">
      <w:pPr>
        <w:ind w:left="847" w:right="153"/>
      </w:pPr>
      <w:r>
        <w:t xml:space="preserve">                                                                                                                              Rachele Anna DONNICI  </w:t>
      </w:r>
    </w:p>
    <w:p w:rsidR="005F61FA" w:rsidRDefault="00E0697C">
      <w:pPr>
        <w:spacing w:after="0" w:line="240" w:lineRule="auto"/>
        <w:ind w:left="6044" w:right="89" w:firstLine="0"/>
        <w:jc w:val="right"/>
      </w:pPr>
      <w:r>
        <w:rPr>
          <w:sz w:val="18"/>
        </w:rPr>
        <w:t xml:space="preserve">Il presente documento è firmato digitalmente ai </w:t>
      </w:r>
      <w:proofErr w:type="gramStart"/>
      <w:r>
        <w:rPr>
          <w:sz w:val="18"/>
        </w:rPr>
        <w:t>sensi  e</w:t>
      </w:r>
      <w:proofErr w:type="gramEnd"/>
      <w:r>
        <w:rPr>
          <w:sz w:val="18"/>
        </w:rPr>
        <w:t xml:space="preserve"> per gli effetti  del c.d. Codice dell’Amministrazi</w:t>
      </w:r>
      <w:r>
        <w:rPr>
          <w:sz w:val="18"/>
        </w:rPr>
        <w:t xml:space="preserve">one  Digitale e norme ad esso connesse.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Brush Script MT" w:eastAsia="Brush Script MT" w:hAnsi="Brush Script MT" w:cs="Brush Script MT"/>
          <w:i/>
          <w:sz w:val="16"/>
        </w:rPr>
        <w:t xml:space="preserve"> </w:t>
      </w:r>
    </w:p>
    <w:p w:rsidR="005F61FA" w:rsidRDefault="00E0697C">
      <w:pPr>
        <w:spacing w:after="0" w:line="259" w:lineRule="auto"/>
        <w:ind w:left="852" w:firstLine="0"/>
      </w:pPr>
      <w:r>
        <w:rPr>
          <w:rFonts w:ascii="Brush Script MT" w:eastAsia="Brush Script MT" w:hAnsi="Brush Script MT" w:cs="Brush Script MT"/>
          <w:i/>
          <w:sz w:val="16"/>
        </w:rPr>
        <w:t xml:space="preserve"> </w:t>
      </w:r>
    </w:p>
    <w:sectPr w:rsidR="005F61FA">
      <w:pgSz w:w="11906" w:h="16838"/>
      <w:pgMar w:top="684" w:right="1197" w:bottom="121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7F90"/>
    <w:multiLevelType w:val="hybridMultilevel"/>
    <w:tmpl w:val="0A06057A"/>
    <w:lvl w:ilvl="0" w:tplc="8970021E">
      <w:start w:val="1"/>
      <w:numFmt w:val="decimal"/>
      <w:lvlText w:val="%1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0E8A4">
      <w:start w:val="1"/>
      <w:numFmt w:val="lowerLetter"/>
      <w:lvlText w:val="%2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265B8">
      <w:start w:val="1"/>
      <w:numFmt w:val="lowerRoman"/>
      <w:lvlText w:val="%3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05356">
      <w:start w:val="1"/>
      <w:numFmt w:val="decimal"/>
      <w:lvlText w:val="%4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694E6">
      <w:start w:val="1"/>
      <w:numFmt w:val="lowerLetter"/>
      <w:lvlText w:val="%5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48434">
      <w:start w:val="1"/>
      <w:numFmt w:val="lowerRoman"/>
      <w:lvlText w:val="%6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C1628">
      <w:start w:val="1"/>
      <w:numFmt w:val="decimal"/>
      <w:lvlText w:val="%7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016CC">
      <w:start w:val="1"/>
      <w:numFmt w:val="lowerLetter"/>
      <w:lvlText w:val="%8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21008">
      <w:start w:val="1"/>
      <w:numFmt w:val="lowerRoman"/>
      <w:lvlText w:val="%9"/>
      <w:lvlJc w:val="left"/>
      <w:pPr>
        <w:ind w:left="7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FA"/>
    <w:rsid w:val="005F61FA"/>
    <w:rsid w:val="00E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5C458-65AD-4C10-AD1D-44983FC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pina</dc:creator>
  <cp:keywords/>
  <cp:lastModifiedBy>Dirigente</cp:lastModifiedBy>
  <cp:revision>2</cp:revision>
  <dcterms:created xsi:type="dcterms:W3CDTF">2020-05-21T10:37:00Z</dcterms:created>
  <dcterms:modified xsi:type="dcterms:W3CDTF">2020-05-21T10:37:00Z</dcterms:modified>
</cp:coreProperties>
</file>